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50334BD" w14:textId="77777777" w:rsidR="002D3D8A" w:rsidRDefault="00000000">
      <w:pPr>
        <w:spacing w:after="240"/>
        <w:jc w:val="center"/>
      </w:pPr>
      <w:r>
        <w:rPr>
          <w:noProof/>
        </w:rPr>
        <w:drawing>
          <wp:inline distT="0" distB="0" distL="0" distR="0" wp14:anchorId="26761F7F" wp14:editId="1CA30A27">
            <wp:extent cx="5715000" cy="9620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5715000" cy="962025"/>
                    </a:xfrm>
                    <a:prstGeom prst="rect">
                      <a:avLst/>
                    </a:prstGeom>
                  </pic:spPr>
                </pic:pic>
              </a:graphicData>
            </a:graphic>
          </wp:inline>
        </w:drawing>
      </w:r>
    </w:p>
    <w:p w14:paraId="21991400" w14:textId="77777777" w:rsidR="002D3D8A" w:rsidRDefault="00000000">
      <w:pPr>
        <w:spacing w:before="120" w:after="200"/>
      </w:pPr>
      <w:r>
        <w:rPr>
          <w:b/>
          <w:bCs/>
          <w:color w:val="134576"/>
          <w:sz w:val="30"/>
          <w:szCs w:val="30"/>
        </w:rPr>
        <w:t>FIDEC presents its 2026 Guidelines and Recommendations to improve the management and execution of construction projects in Ibero-America</w:t>
      </w:r>
    </w:p>
    <w:p w14:paraId="08A10950" w14:textId="77777777" w:rsidR="002D3D8A" w:rsidRDefault="00000000">
      <w:pPr>
        <w:spacing w:after="160" w:line="276" w:lineRule="auto"/>
        <w:jc w:val="both"/>
      </w:pPr>
      <w:r>
        <w:rPr>
          <w:sz w:val="21"/>
          <w:szCs w:val="21"/>
        </w:rPr>
        <w:t xml:space="preserve">The Ibero-American Federation of Construction Law (FIDEC) has approved and released the </w:t>
      </w:r>
      <w:r>
        <w:rPr>
          <w:b/>
          <w:bCs/>
          <w:sz w:val="21"/>
          <w:szCs w:val="21"/>
        </w:rPr>
        <w:t>FIDEC Guidelines and Recommendations 2026</w:t>
      </w:r>
      <w:r>
        <w:rPr>
          <w:sz w:val="21"/>
          <w:szCs w:val="21"/>
        </w:rPr>
        <w:t>, a common framework of recommendations to improve the management and execution of construction projects in the region. The document, available in Spanish and Portuguese, proposes moving toward shared standards inspired by international best practices.</w:t>
      </w:r>
    </w:p>
    <w:p w14:paraId="24EEF637" w14:textId="77777777" w:rsidR="002D3D8A" w:rsidRDefault="00000000">
      <w:pPr>
        <w:spacing w:after="160" w:line="276" w:lineRule="auto"/>
        <w:jc w:val="both"/>
      </w:pPr>
      <w:r>
        <w:rPr>
          <w:sz w:val="21"/>
          <w:szCs w:val="21"/>
        </w:rPr>
        <w:t>The Guidelines start from a diagnosis shared across Ibero-American countries: infrastructure gaps, low productivity, frequent cost overruns and delays, unclear or rigid contractual frameworks, and a high level of disputes that at times brings projects to a halt. In response, FIDEC proposes a comprehensive approach applicable to traditional public works, to concessions and public-private partnerships, and to private construction.</w:t>
      </w:r>
    </w:p>
    <w:p w14:paraId="7E685FA3" w14:textId="77777777" w:rsidR="002D3D8A" w:rsidRDefault="00000000">
      <w:pPr>
        <w:spacing w:after="160" w:line="276" w:lineRule="auto"/>
        <w:jc w:val="both"/>
      </w:pPr>
      <w:r>
        <w:rPr>
          <w:sz w:val="21"/>
          <w:szCs w:val="21"/>
        </w:rPr>
        <w:t>Among its proposals, the document sets out a new institutional framework for infrastructure, more efficient contractual models, the updating of public procurement regulations, professional risk and project management, fairer rules across the subcontracting chain, early dispute resolution mechanisms (such as Dispute Boards, mediation and specialized arbitration), the incorporation of innovation and digital transformation, and the creation of a regional Observatory on contracting and disputes.</w:t>
      </w:r>
    </w:p>
    <w:p w14:paraId="0529F13F" w14:textId="77777777" w:rsidR="002D3D8A" w:rsidRPr="00DC57DC" w:rsidRDefault="00000000">
      <w:pPr>
        <w:spacing w:after="160" w:line="276" w:lineRule="auto"/>
        <w:jc w:val="both"/>
        <w:rPr>
          <w:sz w:val="21"/>
          <w:szCs w:val="21"/>
        </w:rPr>
      </w:pPr>
      <w:r>
        <w:rPr>
          <w:sz w:val="21"/>
          <w:szCs w:val="21"/>
        </w:rPr>
        <w:t xml:space="preserve">FIDEC sees the Guidelines as a starting point. Its technical committees will work on developing and improving the document for its application </w:t>
      </w:r>
      <w:r w:rsidRPr="00DC57DC">
        <w:rPr>
          <w:sz w:val="21"/>
          <w:szCs w:val="21"/>
        </w:rPr>
        <w:t>and recommendation by each member entity, adapting it to the institutional and regulatory context of each country.</w:t>
      </w:r>
    </w:p>
    <w:p w14:paraId="3518A91F" w14:textId="0F24465B" w:rsidR="002D3D8A" w:rsidRPr="00DC57DC" w:rsidRDefault="00000000" w:rsidP="002F784F">
      <w:pPr>
        <w:spacing w:before="60" w:after="160" w:line="276" w:lineRule="auto"/>
        <w:jc w:val="both"/>
        <w:rPr>
          <w:sz w:val="21"/>
          <w:szCs w:val="21"/>
        </w:rPr>
      </w:pPr>
      <w:r w:rsidRPr="00DC57DC">
        <w:rPr>
          <w:i/>
          <w:iCs/>
          <w:color w:val="000000"/>
          <w:sz w:val="21"/>
          <w:szCs w:val="21"/>
        </w:rPr>
        <w:t xml:space="preserve">"With these Guidelines we aim to offer the region a common language and concrete tools to build better infrastructure, with clearer rules and fewer disputes", </w:t>
      </w:r>
      <w:r w:rsidRPr="00DC57DC">
        <w:rPr>
          <w:color w:val="000000"/>
          <w:sz w:val="21"/>
          <w:szCs w:val="21"/>
        </w:rPr>
        <w:t>said Víctor Ríos Salas, President of FIDEC.</w:t>
      </w:r>
      <w:r w:rsidRPr="00DC57DC">
        <w:rPr>
          <w:i/>
          <w:iCs/>
          <w:color w:val="000000"/>
          <w:sz w:val="21"/>
          <w:szCs w:val="21"/>
        </w:rPr>
        <w:t xml:space="preserve">  </w:t>
      </w:r>
    </w:p>
    <w:sectPr w:rsidR="002D3D8A" w:rsidRPr="00DC57DC">
      <w:footerReference w:type="default" r:id="rId8"/>
      <w:pgSz w:w="11906" w:h="16838"/>
      <w:pgMar w:top="1134" w:right="1361" w:bottom="1134" w:left="1361"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66A8B4D" w14:textId="77777777" w:rsidR="00FA0DC1" w:rsidRDefault="00FA0DC1">
      <w:r>
        <w:separator/>
      </w:r>
    </w:p>
  </w:endnote>
  <w:endnote w:type="continuationSeparator" w:id="0">
    <w:p w14:paraId="597BB1AC" w14:textId="77777777" w:rsidR="00FA0DC1" w:rsidRDefault="00FA0D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F4F6574" w14:textId="66F6A4B5" w:rsidR="002D3D8A" w:rsidRDefault="00000000">
    <w:pPr>
      <w:pBdr>
        <w:top w:val="single" w:sz="4" w:space="6" w:color="CCCCCC"/>
      </w:pBdr>
      <w:jc w:val="center"/>
    </w:pPr>
    <w:r>
      <w:rPr>
        <w:color w:val="666666"/>
        <w:sz w:val="16"/>
        <w:szCs w:val="16"/>
      </w:rPr>
      <w:t xml:space="preserve">Federación Iberoamericana de Derecho de la Construcción  ·  </w:t>
    </w:r>
    <w:hyperlink r:id="rId1" w:history="1">
      <w:r w:rsidR="002F784F" w:rsidRPr="00157BC1">
        <w:rPr>
          <w:rStyle w:val="Hipervnculo"/>
          <w:sz w:val="16"/>
          <w:szCs w:val="16"/>
        </w:rPr>
        <w:t>www.fidec-construccion.com</w:t>
      </w:r>
    </w:hyperlink>
    <w:r w:rsidR="002F784F">
      <w:rPr>
        <w:color w:val="666666"/>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5AFCDA1" w14:textId="77777777" w:rsidR="00FA0DC1" w:rsidRDefault="00FA0DC1">
      <w:r>
        <w:separator/>
      </w:r>
    </w:p>
  </w:footnote>
  <w:footnote w:type="continuationSeparator" w:id="0">
    <w:p w14:paraId="0C8326F8" w14:textId="77777777" w:rsidR="00FA0DC1" w:rsidRDefault="00FA0D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D00DD4"/>
    <w:multiLevelType w:val="hybridMultilevel"/>
    <w:tmpl w:val="44C81E4E"/>
    <w:lvl w:ilvl="0" w:tplc="D8E21606">
      <w:start w:val="1"/>
      <w:numFmt w:val="bullet"/>
      <w:lvlText w:val="●"/>
      <w:lvlJc w:val="left"/>
      <w:pPr>
        <w:ind w:left="720" w:hanging="360"/>
      </w:pPr>
    </w:lvl>
    <w:lvl w:ilvl="1" w:tplc="4A60C786">
      <w:start w:val="1"/>
      <w:numFmt w:val="bullet"/>
      <w:lvlText w:val="○"/>
      <w:lvlJc w:val="left"/>
      <w:pPr>
        <w:ind w:left="1440" w:hanging="360"/>
      </w:pPr>
    </w:lvl>
    <w:lvl w:ilvl="2" w:tplc="DBDE8530">
      <w:start w:val="1"/>
      <w:numFmt w:val="bullet"/>
      <w:lvlText w:val="■"/>
      <w:lvlJc w:val="left"/>
      <w:pPr>
        <w:ind w:left="2160" w:hanging="360"/>
      </w:pPr>
    </w:lvl>
    <w:lvl w:ilvl="3" w:tplc="000AFB08">
      <w:start w:val="1"/>
      <w:numFmt w:val="bullet"/>
      <w:lvlText w:val="●"/>
      <w:lvlJc w:val="left"/>
      <w:pPr>
        <w:ind w:left="2880" w:hanging="360"/>
      </w:pPr>
    </w:lvl>
    <w:lvl w:ilvl="4" w:tplc="0AAE2AF8">
      <w:start w:val="1"/>
      <w:numFmt w:val="bullet"/>
      <w:lvlText w:val="○"/>
      <w:lvlJc w:val="left"/>
      <w:pPr>
        <w:ind w:left="3600" w:hanging="360"/>
      </w:pPr>
    </w:lvl>
    <w:lvl w:ilvl="5" w:tplc="CE5C324E">
      <w:start w:val="1"/>
      <w:numFmt w:val="bullet"/>
      <w:lvlText w:val="■"/>
      <w:lvlJc w:val="left"/>
      <w:pPr>
        <w:ind w:left="4320" w:hanging="360"/>
      </w:pPr>
    </w:lvl>
    <w:lvl w:ilvl="6" w:tplc="64C2C66E">
      <w:start w:val="1"/>
      <w:numFmt w:val="bullet"/>
      <w:lvlText w:val="●"/>
      <w:lvlJc w:val="left"/>
      <w:pPr>
        <w:ind w:left="5040" w:hanging="360"/>
      </w:pPr>
    </w:lvl>
    <w:lvl w:ilvl="7" w:tplc="09D805C8">
      <w:start w:val="1"/>
      <w:numFmt w:val="bullet"/>
      <w:lvlText w:val="●"/>
      <w:lvlJc w:val="left"/>
      <w:pPr>
        <w:ind w:left="5760" w:hanging="360"/>
      </w:pPr>
    </w:lvl>
    <w:lvl w:ilvl="8" w:tplc="3A928000">
      <w:start w:val="1"/>
      <w:numFmt w:val="bullet"/>
      <w:lvlText w:val="●"/>
      <w:lvlJc w:val="left"/>
      <w:pPr>
        <w:ind w:left="6480" w:hanging="360"/>
      </w:pPr>
    </w:lvl>
  </w:abstractNum>
  <w:num w:numId="1" w16cid:durableId="1539928581">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5"/>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3D8A"/>
    <w:rsid w:val="002552F9"/>
    <w:rsid w:val="002A23CF"/>
    <w:rsid w:val="002D3D8A"/>
    <w:rsid w:val="002F784F"/>
    <w:rsid w:val="006E7096"/>
    <w:rsid w:val="00DC57DC"/>
    <w:rsid w:val="00E753B6"/>
    <w:rsid w:val="00F168D4"/>
    <w:rsid w:val="00FA0DC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ecimalSymbol w:val=","/>
  <w:listSeparator w:val=";"/>
  <w14:docId w14:val="71106ECE"/>
  <w15:docId w15:val="{1815C346-C3E4-F24C-997B-959D22FA7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lang w:val="es-AR"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outlineLvl w:val="0"/>
    </w:pPr>
    <w:rPr>
      <w:color w:val="2E74B5"/>
      <w:sz w:val="32"/>
      <w:szCs w:val="32"/>
    </w:rPr>
  </w:style>
  <w:style w:type="paragraph" w:styleId="Ttulo2">
    <w:name w:val="heading 2"/>
    <w:uiPriority w:val="9"/>
    <w:semiHidden/>
    <w:unhideWhenUsed/>
    <w:qFormat/>
    <w:pPr>
      <w:outlineLvl w:val="1"/>
    </w:pPr>
    <w:rPr>
      <w:color w:val="2E74B5"/>
      <w:sz w:val="26"/>
      <w:szCs w:val="26"/>
    </w:rPr>
  </w:style>
  <w:style w:type="paragraph" w:styleId="Ttulo3">
    <w:name w:val="heading 3"/>
    <w:uiPriority w:val="9"/>
    <w:semiHidden/>
    <w:unhideWhenUsed/>
    <w:qFormat/>
    <w:pPr>
      <w:outlineLvl w:val="2"/>
    </w:pPr>
    <w:rPr>
      <w:color w:val="1F4D78"/>
      <w:sz w:val="24"/>
      <w:szCs w:val="24"/>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uiPriority w:val="10"/>
    <w:qFormat/>
    <w:rPr>
      <w:sz w:val="56"/>
      <w:szCs w:val="56"/>
    </w:rPr>
  </w:style>
  <w:style w:type="paragraph" w:customStyle="1" w:styleId="Fuerte1">
    <w:name w:val="Fuerte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style>
  <w:style w:type="character" w:customStyle="1" w:styleId="TextonotapieCar">
    <w:name w:val="Texto nota pie Car"/>
    <w:link w:val="Textonotapie"/>
    <w:uiPriority w:val="99"/>
    <w:semiHidden/>
    <w:unhideWhenUsed/>
    <w:rPr>
      <w:sz w:val="20"/>
      <w:szCs w:val="20"/>
    </w:rPr>
  </w:style>
  <w:style w:type="character" w:styleId="Refdenotaalfinal">
    <w:name w:val="endnote reference"/>
    <w:uiPriority w:val="99"/>
    <w:semiHidden/>
    <w:unhideWhenUsed/>
    <w:rPr>
      <w:vertAlign w:val="superscript"/>
    </w:rPr>
  </w:style>
  <w:style w:type="paragraph" w:styleId="Textonotaalfinal">
    <w:name w:val="endnote text"/>
    <w:link w:val="TextonotaalfinalCar"/>
    <w:uiPriority w:val="99"/>
    <w:semiHidden/>
    <w:unhideWhenUsed/>
  </w:style>
  <w:style w:type="character" w:customStyle="1" w:styleId="TextonotaalfinalCar">
    <w:name w:val="Texto nota al final Car"/>
    <w:link w:val="Textonotaalfinal"/>
    <w:uiPriority w:val="99"/>
    <w:semiHidden/>
    <w:unhideWhenUsed/>
    <w:rPr>
      <w:sz w:val="20"/>
      <w:szCs w:val="20"/>
    </w:rPr>
  </w:style>
  <w:style w:type="character" w:styleId="Mencinsinresolver">
    <w:name w:val="Unresolved Mention"/>
    <w:basedOn w:val="Fuentedeprrafopredeter"/>
    <w:uiPriority w:val="99"/>
    <w:semiHidden/>
    <w:unhideWhenUsed/>
    <w:rsid w:val="002F784F"/>
    <w:rPr>
      <w:color w:val="605E5C"/>
      <w:shd w:val="clear" w:color="auto" w:fill="E1DFDD"/>
    </w:rPr>
  </w:style>
  <w:style w:type="paragraph" w:styleId="Encabezado">
    <w:name w:val="header"/>
    <w:basedOn w:val="Normal"/>
    <w:link w:val="EncabezadoCar"/>
    <w:uiPriority w:val="99"/>
    <w:unhideWhenUsed/>
    <w:rsid w:val="002F784F"/>
    <w:pPr>
      <w:tabs>
        <w:tab w:val="center" w:pos="4419"/>
        <w:tab w:val="right" w:pos="8838"/>
      </w:tabs>
    </w:pPr>
  </w:style>
  <w:style w:type="character" w:customStyle="1" w:styleId="EncabezadoCar">
    <w:name w:val="Encabezado Car"/>
    <w:basedOn w:val="Fuentedeprrafopredeter"/>
    <w:link w:val="Encabezado"/>
    <w:uiPriority w:val="99"/>
    <w:rsid w:val="002F784F"/>
  </w:style>
  <w:style w:type="paragraph" w:styleId="Piedepgina">
    <w:name w:val="footer"/>
    <w:basedOn w:val="Normal"/>
    <w:link w:val="PiedepginaCar"/>
    <w:uiPriority w:val="99"/>
    <w:unhideWhenUsed/>
    <w:rsid w:val="002F784F"/>
    <w:pPr>
      <w:tabs>
        <w:tab w:val="center" w:pos="4419"/>
        <w:tab w:val="right" w:pos="8838"/>
      </w:tabs>
    </w:pPr>
  </w:style>
  <w:style w:type="character" w:customStyle="1" w:styleId="PiedepginaCar">
    <w:name w:val="Pie de página Car"/>
    <w:basedOn w:val="Fuentedeprrafopredeter"/>
    <w:link w:val="Piedepgina"/>
    <w:uiPriority w:val="99"/>
    <w:rsid w:val="002F78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fidec-construccion.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263</Words>
  <Characters>1647</Characters>
  <Application>Microsoft Office Word</Application>
  <DocSecurity>0</DocSecurity>
  <Lines>22</Lines>
  <Paragraphs>6</Paragraphs>
  <ScaleCrop>false</ScaleCrop>
  <Company/>
  <LinksUpToDate>false</LinksUpToDate>
  <CharactersWithSpaces>1906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LIMBER</cp:lastModifiedBy>
  <cp:revision>2</cp:revision>
  <dcterms:created xsi:type="dcterms:W3CDTF">2026-07-15T01:48:00Z</dcterms:created>
  <dcterms:modified xsi:type="dcterms:W3CDTF">2026-07-15T01:48:00Z</dcterms:modified>
</cp:coreProperties>
</file>